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2F1ED" w14:textId="77777777" w:rsidR="007A61A4" w:rsidRDefault="007A61A4">
      <w:pPr>
        <w:spacing w:line="280" w:lineRule="auto"/>
        <w:rPr>
          <w:rFonts w:ascii="Palatino Linotype" w:eastAsia="Palatino Linotype" w:hAnsi="Palatino Linotype" w:cs="Palatino Linotype"/>
          <w:b/>
          <w:color w:val="C00000"/>
          <w:sz w:val="22"/>
          <w:szCs w:val="22"/>
        </w:rPr>
      </w:pPr>
    </w:p>
    <w:p w14:paraId="32B803F7" w14:textId="77777777" w:rsidR="007A61A4" w:rsidRDefault="007A61A4">
      <w:pPr>
        <w:spacing w:line="280" w:lineRule="auto"/>
        <w:rPr>
          <w:rFonts w:ascii="Palatino Linotype" w:eastAsia="Palatino Linotype" w:hAnsi="Palatino Linotype" w:cs="Palatino Linotype"/>
          <w:b/>
          <w:color w:val="C00000"/>
          <w:sz w:val="22"/>
          <w:szCs w:val="22"/>
        </w:rPr>
      </w:pPr>
    </w:p>
    <w:p w14:paraId="587CDFBD" w14:textId="77777777" w:rsidR="007A61A4" w:rsidRDefault="00000000">
      <w:pPr>
        <w:spacing w:line="276" w:lineRule="auto"/>
        <w:jc w:val="center"/>
        <w:rPr>
          <w:rFonts w:ascii="Palatino Linotype" w:eastAsia="Palatino Linotype" w:hAnsi="Palatino Linotype" w:cs="Palatino Linotype"/>
          <w:b/>
          <w:sz w:val="28"/>
          <w:szCs w:val="28"/>
        </w:rPr>
      </w:pPr>
      <w:r>
        <w:rPr>
          <w:rFonts w:ascii="Palatino Linotype" w:eastAsia="Palatino Linotype" w:hAnsi="Palatino Linotype" w:cs="Palatino Linotype"/>
          <w:b/>
          <w:sz w:val="28"/>
          <w:szCs w:val="28"/>
        </w:rPr>
        <w:t>Intelligent Venice: the oldest city of the future</w:t>
      </w:r>
    </w:p>
    <w:p w14:paraId="49A03AAA" w14:textId="77777777" w:rsidR="007A61A4" w:rsidRDefault="007A61A4">
      <w:pPr>
        <w:spacing w:line="276" w:lineRule="auto"/>
        <w:jc w:val="center"/>
        <w:rPr>
          <w:rFonts w:ascii="Palatino Linotype" w:eastAsia="Palatino Linotype" w:hAnsi="Palatino Linotype" w:cs="Palatino Linotype"/>
          <w:b/>
          <w:sz w:val="24"/>
          <w:szCs w:val="24"/>
        </w:rPr>
      </w:pPr>
    </w:p>
    <w:p w14:paraId="22F75FE8" w14:textId="77777777" w:rsidR="007A61A4" w:rsidRDefault="00000000">
      <w:pPr>
        <w:spacing w:line="276" w:lineRule="auto"/>
        <w:jc w:val="center"/>
        <w:rPr>
          <w:rFonts w:ascii="Palatino Linotype" w:eastAsia="Palatino Linotype" w:hAnsi="Palatino Linotype" w:cs="Palatino Linotype"/>
          <w:b/>
          <w:sz w:val="24"/>
          <w:szCs w:val="24"/>
        </w:rPr>
      </w:pPr>
      <w:r>
        <w:rPr>
          <w:rFonts w:ascii="Palatino Linotype" w:eastAsia="Palatino Linotype" w:hAnsi="Palatino Linotype" w:cs="Palatino Linotype"/>
          <w:b/>
          <w:sz w:val="24"/>
          <w:szCs w:val="24"/>
        </w:rPr>
        <w:t xml:space="preserve">Special Project of the </w:t>
      </w:r>
    </w:p>
    <w:p w14:paraId="0726FA16" w14:textId="77777777" w:rsidR="007A61A4" w:rsidRDefault="00000000">
      <w:pPr>
        <w:spacing w:line="276" w:lineRule="auto"/>
        <w:jc w:val="center"/>
        <w:rPr>
          <w:rFonts w:ascii="Palatino Linotype" w:eastAsia="Palatino Linotype" w:hAnsi="Palatino Linotype" w:cs="Palatino Linotype"/>
          <w:b/>
          <w:sz w:val="24"/>
          <w:szCs w:val="24"/>
        </w:rPr>
      </w:pPr>
      <w:r>
        <w:rPr>
          <w:rFonts w:ascii="Palatino Linotype" w:eastAsia="Palatino Linotype" w:hAnsi="Palatino Linotype" w:cs="Palatino Linotype"/>
          <w:b/>
          <w:sz w:val="24"/>
          <w:szCs w:val="24"/>
        </w:rPr>
        <w:t>Venice Sustainability Foundation (VSF)</w:t>
      </w:r>
    </w:p>
    <w:p w14:paraId="7D54D74F" w14:textId="77777777" w:rsidR="007A61A4" w:rsidRDefault="007A61A4">
      <w:pPr>
        <w:rPr>
          <w:rFonts w:ascii="Palatino Linotype" w:eastAsia="Palatino Linotype" w:hAnsi="Palatino Linotype" w:cs="Palatino Linotype"/>
          <w:b/>
          <w:sz w:val="24"/>
          <w:szCs w:val="24"/>
        </w:rPr>
      </w:pPr>
    </w:p>
    <w:p w14:paraId="3AD4F02E" w14:textId="77777777" w:rsidR="007A61A4" w:rsidRPr="00945D73" w:rsidRDefault="00000000">
      <w:pPr>
        <w:jc w:val="center"/>
        <w:rPr>
          <w:rFonts w:ascii="Palatino Linotype" w:eastAsia="Palatino Linotype" w:hAnsi="Palatino Linotype" w:cs="Palatino Linotype"/>
          <w:sz w:val="22"/>
          <w:szCs w:val="22"/>
          <w:lang w:val="it-IT"/>
        </w:rPr>
      </w:pPr>
      <w:r w:rsidRPr="00945D73">
        <w:rPr>
          <w:rFonts w:ascii="Palatino Linotype" w:eastAsia="Palatino Linotype" w:hAnsi="Palatino Linotype" w:cs="Palatino Linotype"/>
          <w:sz w:val="22"/>
          <w:szCs w:val="22"/>
          <w:lang w:val="it-IT"/>
        </w:rPr>
        <w:t>For the Biennale Architettura 2025</w:t>
      </w:r>
    </w:p>
    <w:p w14:paraId="160EDF91" w14:textId="77777777" w:rsidR="007A61A4" w:rsidRPr="00945D73" w:rsidRDefault="007A61A4">
      <w:pPr>
        <w:jc w:val="center"/>
        <w:rPr>
          <w:rFonts w:ascii="Palatino Linotype" w:eastAsia="Palatino Linotype" w:hAnsi="Palatino Linotype" w:cs="Palatino Linotype"/>
          <w:sz w:val="22"/>
          <w:szCs w:val="22"/>
          <w:lang w:val="it-IT"/>
        </w:rPr>
      </w:pPr>
    </w:p>
    <w:p w14:paraId="53A382C2" w14:textId="77777777" w:rsidR="007A61A4" w:rsidRPr="00945D73" w:rsidRDefault="00000000">
      <w:pPr>
        <w:jc w:val="center"/>
        <w:rPr>
          <w:rFonts w:ascii="Palatino Linotype" w:eastAsia="Palatino Linotype" w:hAnsi="Palatino Linotype" w:cs="Palatino Linotype"/>
          <w:sz w:val="22"/>
          <w:szCs w:val="22"/>
          <w:lang w:val="it-IT"/>
        </w:rPr>
      </w:pPr>
      <w:proofErr w:type="spellStart"/>
      <w:r w:rsidRPr="00945D73">
        <w:rPr>
          <w:rFonts w:ascii="Palatino Linotype" w:eastAsia="Palatino Linotype" w:hAnsi="Palatino Linotype" w:cs="Palatino Linotype"/>
          <w:i/>
          <w:sz w:val="22"/>
          <w:szCs w:val="22"/>
          <w:lang w:val="it-IT"/>
        </w:rPr>
        <w:t>Curators</w:t>
      </w:r>
      <w:proofErr w:type="spellEnd"/>
      <w:r w:rsidRPr="00945D73">
        <w:rPr>
          <w:rFonts w:ascii="Palatino Linotype" w:eastAsia="Palatino Linotype" w:hAnsi="Palatino Linotype" w:cs="Palatino Linotype"/>
          <w:i/>
          <w:sz w:val="22"/>
          <w:szCs w:val="22"/>
          <w:lang w:val="it-IT"/>
        </w:rPr>
        <w:t>:</w:t>
      </w:r>
      <w:r w:rsidRPr="00945D73">
        <w:rPr>
          <w:rFonts w:ascii="Palatino Linotype" w:eastAsia="Palatino Linotype" w:hAnsi="Palatino Linotype" w:cs="Palatino Linotype"/>
          <w:sz w:val="22"/>
          <w:szCs w:val="22"/>
          <w:lang w:val="it-IT"/>
        </w:rPr>
        <w:t xml:space="preserve"> Benno Albrecht (Università Iuav di Venezia), Renato Brunetta (VSF e CNEL), Pierpaolo Campostrini (CORILA), Paolo Costa (C+3C Sistemi e Strategie).</w:t>
      </w:r>
    </w:p>
    <w:p w14:paraId="42DC3873" w14:textId="77777777" w:rsidR="007A61A4" w:rsidRPr="00945D73" w:rsidRDefault="007A61A4">
      <w:pPr>
        <w:jc w:val="center"/>
        <w:rPr>
          <w:rFonts w:ascii="Palatino Linotype" w:eastAsia="Palatino Linotype" w:hAnsi="Palatino Linotype" w:cs="Palatino Linotype"/>
          <w:sz w:val="22"/>
          <w:szCs w:val="22"/>
          <w:lang w:val="it-IT"/>
        </w:rPr>
      </w:pPr>
    </w:p>
    <w:p w14:paraId="156E63CE" w14:textId="77777777" w:rsidR="007A61A4" w:rsidRPr="00945D73" w:rsidRDefault="00000000">
      <w:pPr>
        <w:spacing w:line="280" w:lineRule="auto"/>
        <w:jc w:val="center"/>
        <w:rPr>
          <w:rFonts w:ascii="Palatino Linotype" w:eastAsia="Palatino Linotype" w:hAnsi="Palatino Linotype" w:cs="Palatino Linotype"/>
          <w:sz w:val="22"/>
          <w:szCs w:val="22"/>
          <w:lang w:val="it-IT"/>
        </w:rPr>
      </w:pPr>
      <w:r w:rsidRPr="00945D73">
        <w:rPr>
          <w:rFonts w:ascii="Palatino Linotype" w:eastAsia="Palatino Linotype" w:hAnsi="Palatino Linotype" w:cs="Palatino Linotype"/>
          <w:sz w:val="22"/>
          <w:szCs w:val="22"/>
          <w:lang w:val="it-IT"/>
        </w:rPr>
        <w:t xml:space="preserve">Tesa dell’Isolotto, Darsena Grande dell’Arsenale, </w:t>
      </w:r>
      <w:proofErr w:type="spellStart"/>
      <w:r w:rsidRPr="00945D73">
        <w:rPr>
          <w:rFonts w:ascii="Palatino Linotype" w:eastAsia="Palatino Linotype" w:hAnsi="Palatino Linotype" w:cs="Palatino Linotype"/>
          <w:sz w:val="22"/>
          <w:szCs w:val="22"/>
          <w:lang w:val="it-IT"/>
        </w:rPr>
        <w:t>Venice</w:t>
      </w:r>
      <w:proofErr w:type="spellEnd"/>
      <w:r w:rsidRPr="00945D73">
        <w:rPr>
          <w:rFonts w:ascii="Palatino Linotype" w:eastAsia="Palatino Linotype" w:hAnsi="Palatino Linotype" w:cs="Palatino Linotype"/>
          <w:sz w:val="22"/>
          <w:szCs w:val="22"/>
          <w:lang w:val="it-IT"/>
        </w:rPr>
        <w:br/>
      </w:r>
      <w:proofErr w:type="spellStart"/>
      <w:r w:rsidRPr="00945D73">
        <w:rPr>
          <w:rFonts w:ascii="Palatino Linotype" w:eastAsia="Palatino Linotype" w:hAnsi="Palatino Linotype" w:cs="Palatino Linotype"/>
          <w:sz w:val="22"/>
          <w:szCs w:val="22"/>
          <w:lang w:val="it-IT"/>
        </w:rPr>
        <w:t>May</w:t>
      </w:r>
      <w:proofErr w:type="spellEnd"/>
      <w:r w:rsidRPr="00945D73">
        <w:rPr>
          <w:rFonts w:ascii="Palatino Linotype" w:eastAsia="Palatino Linotype" w:hAnsi="Palatino Linotype" w:cs="Palatino Linotype"/>
          <w:sz w:val="22"/>
          <w:szCs w:val="22"/>
          <w:lang w:val="it-IT"/>
        </w:rPr>
        <w:t xml:space="preserve"> 10 – November 23, 2025</w:t>
      </w:r>
    </w:p>
    <w:p w14:paraId="46F78903" w14:textId="77777777" w:rsidR="007A61A4" w:rsidRPr="00945D73" w:rsidRDefault="007A61A4">
      <w:pPr>
        <w:spacing w:line="280" w:lineRule="auto"/>
        <w:jc w:val="center"/>
        <w:rPr>
          <w:rFonts w:ascii="Palatino Linotype" w:eastAsia="Palatino Linotype" w:hAnsi="Palatino Linotype" w:cs="Palatino Linotype"/>
          <w:sz w:val="24"/>
          <w:szCs w:val="24"/>
          <w:lang w:val="it-IT"/>
        </w:rPr>
      </w:pPr>
    </w:p>
    <w:p w14:paraId="21501441" w14:textId="77777777" w:rsidR="007A61A4" w:rsidRDefault="00000000">
      <w:pPr>
        <w:jc w:val="cente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 xml:space="preserve">EXHIBITION GUIDE </w:t>
      </w:r>
    </w:p>
    <w:p w14:paraId="1825C520" w14:textId="77777777" w:rsidR="007A61A4" w:rsidRDefault="007A61A4">
      <w:pPr>
        <w:jc w:val="both"/>
        <w:rPr>
          <w:rFonts w:ascii="Palatino Linotype" w:eastAsia="Palatino Linotype" w:hAnsi="Palatino Linotype" w:cs="Palatino Linotype"/>
          <w:b/>
          <w:vertAlign w:val="subscript"/>
        </w:rPr>
      </w:pPr>
    </w:p>
    <w:p w14:paraId="7C082959"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exhibition is built around various levels of interpretation to ensure a differentiated experience. Upon entering the Pavilion, the visitor will be immersed in a basilica-like architectural space, with a rhythmic configuration of the walls created through a succession of apses and vertical panels.</w:t>
      </w:r>
    </w:p>
    <w:p w14:paraId="60273B88" w14:textId="77777777" w:rsidR="007A61A4" w:rsidRDefault="007A61A4">
      <w:pPr>
        <w:spacing w:line="276" w:lineRule="auto"/>
        <w:jc w:val="both"/>
        <w:rPr>
          <w:rFonts w:ascii="Palatino Linotype" w:eastAsia="Palatino Linotype" w:hAnsi="Palatino Linotype" w:cs="Palatino Linotype"/>
          <w:sz w:val="22"/>
          <w:szCs w:val="22"/>
        </w:rPr>
      </w:pPr>
    </w:p>
    <w:p w14:paraId="5C23C884"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The five </w:t>
      </w:r>
      <w:r>
        <w:rPr>
          <w:rFonts w:ascii="Palatino Linotype" w:eastAsia="Palatino Linotype" w:hAnsi="Palatino Linotype" w:cs="Palatino Linotype"/>
          <w:b/>
          <w:sz w:val="22"/>
          <w:szCs w:val="22"/>
        </w:rPr>
        <w:t>Apses of the intelligences</w:t>
      </w:r>
      <w:r>
        <w:rPr>
          <w:rFonts w:ascii="Palatino Linotype" w:eastAsia="Palatino Linotype" w:hAnsi="Palatino Linotype" w:cs="Palatino Linotype"/>
          <w:sz w:val="22"/>
          <w:szCs w:val="22"/>
        </w:rPr>
        <w:t xml:space="preserve"> present the processes of formation and management of the city and the lagoon, both historically and in the contemporary context.</w:t>
      </w:r>
    </w:p>
    <w:p w14:paraId="63D0504F" w14:textId="77777777" w:rsidR="007A61A4" w:rsidRDefault="007A61A4">
      <w:pPr>
        <w:spacing w:line="276" w:lineRule="auto"/>
        <w:jc w:val="both"/>
        <w:rPr>
          <w:rFonts w:ascii="Palatino Linotype" w:eastAsia="Palatino Linotype" w:hAnsi="Palatino Linotype" w:cs="Palatino Linotype"/>
          <w:sz w:val="22"/>
          <w:szCs w:val="22"/>
        </w:rPr>
      </w:pPr>
    </w:p>
    <w:p w14:paraId="49A5D72B" w14:textId="77777777" w:rsidR="007A61A4" w:rsidRDefault="00000000">
      <w:pPr>
        <w:spacing w:line="276" w:lineRule="auto"/>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Apse "Millenary time"</w:t>
      </w:r>
    </w:p>
    <w:p w14:paraId="7A3C58BF"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time of the present generation is a fragment of the history of Venice, following the time already lived and preceding what is yet to come. The lagoon is a natural, ephemeral element whose presence today is due to its interaction with human society. Its current and future role is to serve as a link and integrate different urban realities.</w:t>
      </w:r>
    </w:p>
    <w:p w14:paraId="78258634" w14:textId="77777777" w:rsidR="007A61A4" w:rsidRDefault="007A61A4">
      <w:pPr>
        <w:spacing w:line="276" w:lineRule="auto"/>
        <w:jc w:val="both"/>
        <w:rPr>
          <w:rFonts w:ascii="Palatino Linotype" w:eastAsia="Palatino Linotype" w:hAnsi="Palatino Linotype" w:cs="Palatino Linotype"/>
          <w:sz w:val="22"/>
          <w:szCs w:val="22"/>
        </w:rPr>
      </w:pPr>
    </w:p>
    <w:p w14:paraId="529A6B9B" w14:textId="77777777" w:rsidR="007A61A4" w:rsidRPr="00945D73" w:rsidRDefault="00000000">
      <w:pPr>
        <w:spacing w:line="276" w:lineRule="auto"/>
        <w:jc w:val="both"/>
        <w:rPr>
          <w:rFonts w:ascii="Palatino Linotype" w:eastAsia="Palatino Linotype" w:hAnsi="Palatino Linotype" w:cs="Palatino Linotype"/>
          <w:i/>
          <w:sz w:val="22"/>
          <w:szCs w:val="22"/>
          <w:lang w:val="it-IT"/>
        </w:rPr>
      </w:pPr>
      <w:proofErr w:type="spellStart"/>
      <w:r w:rsidRPr="00945D73">
        <w:rPr>
          <w:rFonts w:ascii="Palatino Linotype" w:eastAsia="Palatino Linotype" w:hAnsi="Palatino Linotype" w:cs="Palatino Linotype"/>
          <w:i/>
          <w:sz w:val="22"/>
          <w:szCs w:val="22"/>
          <w:lang w:val="it-IT"/>
        </w:rPr>
        <w:t>This</w:t>
      </w:r>
      <w:proofErr w:type="spellEnd"/>
      <w:r w:rsidRPr="00945D73">
        <w:rPr>
          <w:rFonts w:ascii="Palatino Linotype" w:eastAsia="Palatino Linotype" w:hAnsi="Palatino Linotype" w:cs="Palatino Linotype"/>
          <w:i/>
          <w:sz w:val="22"/>
          <w:szCs w:val="22"/>
          <w:lang w:val="it-IT"/>
        </w:rPr>
        <w:t xml:space="preserve"> </w:t>
      </w:r>
      <w:proofErr w:type="spellStart"/>
      <w:r w:rsidRPr="00945D73">
        <w:rPr>
          <w:rFonts w:ascii="Palatino Linotype" w:eastAsia="Palatino Linotype" w:hAnsi="Palatino Linotype" w:cs="Palatino Linotype"/>
          <w:i/>
          <w:sz w:val="22"/>
          <w:szCs w:val="22"/>
          <w:lang w:val="it-IT"/>
        </w:rPr>
        <w:t>theme</w:t>
      </w:r>
      <w:proofErr w:type="spellEnd"/>
      <w:r w:rsidRPr="00945D73">
        <w:rPr>
          <w:rFonts w:ascii="Palatino Linotype" w:eastAsia="Palatino Linotype" w:hAnsi="Palatino Linotype" w:cs="Palatino Linotype"/>
          <w:i/>
          <w:sz w:val="22"/>
          <w:szCs w:val="22"/>
          <w:lang w:val="it-IT"/>
        </w:rPr>
        <w:t xml:space="preserve"> </w:t>
      </w:r>
      <w:proofErr w:type="spellStart"/>
      <w:r w:rsidRPr="00945D73">
        <w:rPr>
          <w:rFonts w:ascii="Palatino Linotype" w:eastAsia="Palatino Linotype" w:hAnsi="Palatino Linotype" w:cs="Palatino Linotype"/>
          <w:i/>
          <w:sz w:val="22"/>
          <w:szCs w:val="22"/>
          <w:lang w:val="it-IT"/>
        </w:rPr>
        <w:t>is</w:t>
      </w:r>
      <w:proofErr w:type="spellEnd"/>
      <w:r w:rsidRPr="00945D73">
        <w:rPr>
          <w:rFonts w:ascii="Palatino Linotype" w:eastAsia="Palatino Linotype" w:hAnsi="Palatino Linotype" w:cs="Palatino Linotype"/>
          <w:i/>
          <w:sz w:val="22"/>
          <w:szCs w:val="22"/>
          <w:lang w:val="it-IT"/>
        </w:rPr>
        <w:t xml:space="preserve"> </w:t>
      </w:r>
      <w:proofErr w:type="spellStart"/>
      <w:r w:rsidRPr="00945D73">
        <w:rPr>
          <w:rFonts w:ascii="Palatino Linotype" w:eastAsia="Palatino Linotype" w:hAnsi="Palatino Linotype" w:cs="Palatino Linotype"/>
          <w:i/>
          <w:sz w:val="22"/>
          <w:szCs w:val="22"/>
          <w:lang w:val="it-IT"/>
        </w:rPr>
        <w:t>supported</w:t>
      </w:r>
      <w:proofErr w:type="spellEnd"/>
      <w:r w:rsidRPr="00945D73">
        <w:rPr>
          <w:rFonts w:ascii="Palatino Linotype" w:eastAsia="Palatino Linotype" w:hAnsi="Palatino Linotype" w:cs="Palatino Linotype"/>
          <w:i/>
          <w:sz w:val="22"/>
          <w:szCs w:val="22"/>
          <w:lang w:val="it-IT"/>
        </w:rPr>
        <w:t xml:space="preserve"> by the Autorità di Sistema Portuale del Mare Adriatico Settentrionale - Porti di Venezia e Chioggia, CORILA - Consorzio per il Coordinamento delle Ricerche inerenti al sistema lagunare di Venezia, the Istituto di Scienze Marine del Consiglio Nazionale delle Ricerche (ISMAR-CNR), and the Università Iuav di Venezia.</w:t>
      </w:r>
    </w:p>
    <w:p w14:paraId="091EF6BF" w14:textId="77777777" w:rsidR="007A61A4" w:rsidRPr="00945D73" w:rsidRDefault="007A61A4">
      <w:pPr>
        <w:spacing w:line="276" w:lineRule="auto"/>
        <w:jc w:val="both"/>
        <w:rPr>
          <w:rFonts w:ascii="Palatino Linotype" w:eastAsia="Palatino Linotype" w:hAnsi="Palatino Linotype" w:cs="Palatino Linotype"/>
          <w:sz w:val="22"/>
          <w:szCs w:val="22"/>
          <w:lang w:val="it-IT"/>
        </w:rPr>
      </w:pPr>
    </w:p>
    <w:p w14:paraId="03ECC446" w14:textId="77777777" w:rsidR="007A61A4" w:rsidRDefault="00000000">
      <w:pPr>
        <w:spacing w:line="276" w:lineRule="auto"/>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Apse "Regulated lagoon"</w:t>
      </w:r>
    </w:p>
    <w:p w14:paraId="2D325E77"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The </w:t>
      </w:r>
      <w:proofErr w:type="spellStart"/>
      <w:r>
        <w:rPr>
          <w:rFonts w:ascii="Palatino Linotype" w:eastAsia="Palatino Linotype" w:hAnsi="Palatino Linotype" w:cs="Palatino Linotype"/>
          <w:sz w:val="22"/>
          <w:szCs w:val="22"/>
        </w:rPr>
        <w:t>defense</w:t>
      </w:r>
      <w:proofErr w:type="spellEnd"/>
      <w:r>
        <w:rPr>
          <w:rFonts w:ascii="Palatino Linotype" w:eastAsia="Palatino Linotype" w:hAnsi="Palatino Linotype" w:cs="Palatino Linotype"/>
          <w:sz w:val="22"/>
          <w:szCs w:val="22"/>
        </w:rPr>
        <w:t xml:space="preserve"> of Venice from flooding events has not aimed to isolate it from the sea. Still, it has instead superimposed an intelligent regulation on the natural oscillation of the tide so as not to alter the lagoon's ecosystem services. The MOSE mobile barriers represent an extraordinary project that complements many other interventions described in this section.</w:t>
      </w:r>
    </w:p>
    <w:p w14:paraId="005EB514" w14:textId="77777777" w:rsidR="007A61A4" w:rsidRDefault="007A61A4">
      <w:pPr>
        <w:spacing w:line="276" w:lineRule="auto"/>
        <w:jc w:val="both"/>
        <w:rPr>
          <w:rFonts w:ascii="Palatino Linotype" w:eastAsia="Palatino Linotype" w:hAnsi="Palatino Linotype" w:cs="Palatino Linotype"/>
          <w:sz w:val="22"/>
          <w:szCs w:val="22"/>
        </w:rPr>
      </w:pPr>
    </w:p>
    <w:p w14:paraId="4C557C6F" w14:textId="77777777" w:rsidR="007A61A4" w:rsidRDefault="00000000">
      <w:pPr>
        <w:spacing w:line="276" w:lineRule="auto"/>
        <w:jc w:val="both"/>
        <w:rPr>
          <w:rFonts w:ascii="Palatino Linotype" w:eastAsia="Palatino Linotype" w:hAnsi="Palatino Linotype" w:cs="Palatino Linotype"/>
          <w:i/>
          <w:sz w:val="22"/>
          <w:szCs w:val="22"/>
        </w:rPr>
      </w:pPr>
      <w:r>
        <w:rPr>
          <w:rFonts w:ascii="Palatino Linotype" w:eastAsia="Palatino Linotype" w:hAnsi="Palatino Linotype" w:cs="Palatino Linotype"/>
          <w:i/>
          <w:sz w:val="22"/>
          <w:szCs w:val="22"/>
        </w:rPr>
        <w:t xml:space="preserve">This contribution comes primarily from materials provided by the </w:t>
      </w:r>
      <w:proofErr w:type="spellStart"/>
      <w:r>
        <w:rPr>
          <w:rFonts w:ascii="Palatino Linotype" w:eastAsia="Palatino Linotype" w:hAnsi="Palatino Linotype" w:cs="Palatino Linotype"/>
          <w:i/>
          <w:sz w:val="22"/>
          <w:szCs w:val="22"/>
        </w:rPr>
        <w:t>Autorità</w:t>
      </w:r>
      <w:proofErr w:type="spellEnd"/>
      <w:r>
        <w:rPr>
          <w:rFonts w:ascii="Palatino Linotype" w:eastAsia="Palatino Linotype" w:hAnsi="Palatino Linotype" w:cs="Palatino Linotype"/>
          <w:i/>
          <w:sz w:val="22"/>
          <w:szCs w:val="22"/>
        </w:rPr>
        <w:t xml:space="preserve"> per la Laguna di Venezia and the </w:t>
      </w:r>
      <w:proofErr w:type="spellStart"/>
      <w:r>
        <w:rPr>
          <w:rFonts w:ascii="Palatino Linotype" w:eastAsia="Palatino Linotype" w:hAnsi="Palatino Linotype" w:cs="Palatino Linotype"/>
          <w:i/>
          <w:sz w:val="22"/>
          <w:szCs w:val="22"/>
        </w:rPr>
        <w:t>Consorzio</w:t>
      </w:r>
      <w:proofErr w:type="spellEnd"/>
      <w:r>
        <w:rPr>
          <w:rFonts w:ascii="Palatino Linotype" w:eastAsia="Palatino Linotype" w:hAnsi="Palatino Linotype" w:cs="Palatino Linotype"/>
          <w:i/>
          <w:sz w:val="22"/>
          <w:szCs w:val="22"/>
        </w:rPr>
        <w:t xml:space="preserve"> Venezia Nuova.</w:t>
      </w:r>
    </w:p>
    <w:p w14:paraId="069382B3" w14:textId="77777777" w:rsidR="007A61A4" w:rsidRDefault="007A61A4">
      <w:pPr>
        <w:spacing w:line="276" w:lineRule="auto"/>
        <w:jc w:val="both"/>
        <w:rPr>
          <w:rFonts w:ascii="Palatino Linotype" w:eastAsia="Palatino Linotype" w:hAnsi="Palatino Linotype" w:cs="Palatino Linotype"/>
          <w:sz w:val="22"/>
          <w:szCs w:val="22"/>
        </w:rPr>
      </w:pPr>
    </w:p>
    <w:p w14:paraId="6409BCC1" w14:textId="77777777" w:rsidR="007A61A4" w:rsidRDefault="00000000">
      <w:pPr>
        <w:spacing w:line="276" w:lineRule="auto"/>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Apse "Anthropized nature"</w:t>
      </w:r>
    </w:p>
    <w:p w14:paraId="649B2D00"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Venice Lagoon is the largest in the Mediterranean and is an essential wetland for biodiversity protection. Its co-evolution with societal needs makes it a typical product of the Anthropocene. Accurate scientific knowledge of natural dynamics is the foundation for its sustainable management.</w:t>
      </w:r>
    </w:p>
    <w:p w14:paraId="301A40A1" w14:textId="77777777" w:rsidR="007A61A4" w:rsidRDefault="007A61A4">
      <w:pPr>
        <w:spacing w:line="276" w:lineRule="auto"/>
        <w:jc w:val="both"/>
        <w:rPr>
          <w:rFonts w:ascii="Palatino Linotype" w:eastAsia="Palatino Linotype" w:hAnsi="Palatino Linotype" w:cs="Palatino Linotype"/>
          <w:sz w:val="22"/>
          <w:szCs w:val="22"/>
        </w:rPr>
      </w:pPr>
    </w:p>
    <w:p w14:paraId="7A2E1BFA" w14:textId="77777777" w:rsidR="007A61A4" w:rsidRDefault="00000000">
      <w:pPr>
        <w:spacing w:line="276" w:lineRule="auto"/>
        <w:jc w:val="both"/>
        <w:rPr>
          <w:rFonts w:ascii="Palatino Linotype" w:eastAsia="Palatino Linotype" w:hAnsi="Palatino Linotype" w:cs="Palatino Linotype"/>
          <w:i/>
          <w:sz w:val="22"/>
          <w:szCs w:val="22"/>
        </w:rPr>
      </w:pPr>
      <w:r>
        <w:rPr>
          <w:rFonts w:ascii="Palatino Linotype" w:eastAsia="Palatino Linotype" w:hAnsi="Palatino Linotype" w:cs="Palatino Linotype"/>
          <w:i/>
          <w:sz w:val="22"/>
          <w:szCs w:val="22"/>
        </w:rPr>
        <w:t xml:space="preserve">CORILA, ISMAR-CNR, the </w:t>
      </w:r>
      <w:proofErr w:type="spellStart"/>
      <w:r>
        <w:rPr>
          <w:rFonts w:ascii="Palatino Linotype" w:eastAsia="Palatino Linotype" w:hAnsi="Palatino Linotype" w:cs="Palatino Linotype"/>
          <w:i/>
          <w:sz w:val="22"/>
          <w:szCs w:val="22"/>
        </w:rPr>
        <w:t>Regione</w:t>
      </w:r>
      <w:proofErr w:type="spellEnd"/>
      <w:r>
        <w:rPr>
          <w:rFonts w:ascii="Palatino Linotype" w:eastAsia="Palatino Linotype" w:hAnsi="Palatino Linotype" w:cs="Palatino Linotype"/>
          <w:i/>
          <w:sz w:val="22"/>
          <w:szCs w:val="22"/>
        </w:rPr>
        <w:t xml:space="preserve"> del Veneto, and the </w:t>
      </w:r>
      <w:proofErr w:type="spellStart"/>
      <w:r>
        <w:rPr>
          <w:rFonts w:ascii="Palatino Linotype" w:eastAsia="Palatino Linotype" w:hAnsi="Palatino Linotype" w:cs="Palatino Linotype"/>
          <w:i/>
          <w:sz w:val="22"/>
          <w:szCs w:val="22"/>
        </w:rPr>
        <w:t>Università</w:t>
      </w:r>
      <w:proofErr w:type="spellEnd"/>
      <w:r>
        <w:rPr>
          <w:rFonts w:ascii="Palatino Linotype" w:eastAsia="Palatino Linotype" w:hAnsi="Palatino Linotype" w:cs="Palatino Linotype"/>
          <w:i/>
          <w:sz w:val="22"/>
          <w:szCs w:val="22"/>
        </w:rPr>
        <w:t xml:space="preserve"> Ca' Foscari Venezia have provided the rich material for an updated Lagoon Atlas, which visitors can access via the touch screen.</w:t>
      </w:r>
    </w:p>
    <w:p w14:paraId="55F44E90" w14:textId="77777777" w:rsidR="007A61A4" w:rsidRDefault="007A61A4">
      <w:pPr>
        <w:spacing w:line="276" w:lineRule="auto"/>
        <w:jc w:val="both"/>
        <w:rPr>
          <w:rFonts w:ascii="Palatino Linotype" w:eastAsia="Palatino Linotype" w:hAnsi="Palatino Linotype" w:cs="Palatino Linotype"/>
          <w:sz w:val="22"/>
          <w:szCs w:val="22"/>
        </w:rPr>
      </w:pPr>
    </w:p>
    <w:p w14:paraId="1876D730" w14:textId="77777777" w:rsidR="007A61A4" w:rsidRDefault="00000000">
      <w:pPr>
        <w:spacing w:line="276" w:lineRule="auto"/>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Apse "Venice of the people"</w:t>
      </w:r>
    </w:p>
    <w:p w14:paraId="2229FCFE"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Like any other capital of a pre-unification Italian state, Venice expanded beyond its walls during modern times. Today, the Venetian </w:t>
      </w:r>
      <w:r>
        <w:rPr>
          <w:rFonts w:ascii="Palatino Linotype" w:eastAsia="Palatino Linotype" w:hAnsi="Palatino Linotype" w:cs="Palatino Linotype"/>
          <w:i/>
          <w:sz w:val="22"/>
          <w:szCs w:val="22"/>
        </w:rPr>
        <w:t>civitas</w:t>
      </w:r>
      <w:r>
        <w:rPr>
          <w:rFonts w:ascii="Palatino Linotype" w:eastAsia="Palatino Linotype" w:hAnsi="Palatino Linotype" w:cs="Palatino Linotype"/>
          <w:sz w:val="22"/>
          <w:szCs w:val="22"/>
        </w:rPr>
        <w:t xml:space="preserve"> expresses itself through the interaction of over a million individuals, involving lagoon and mainland settlements within a single functional area. The Venetian uniqueness is defined by the lagoon - the walls of Venice - which sometimes serve as a link and at other times make it difficult for flows of interaction between the areas. The ability to measure these flows across a vast area is essential for their sustainable management.</w:t>
      </w:r>
    </w:p>
    <w:p w14:paraId="3FDB6AB9" w14:textId="77777777" w:rsidR="007A61A4" w:rsidRDefault="007A61A4">
      <w:pPr>
        <w:spacing w:line="276" w:lineRule="auto"/>
        <w:jc w:val="both"/>
        <w:rPr>
          <w:rFonts w:ascii="Palatino Linotype" w:eastAsia="Palatino Linotype" w:hAnsi="Palatino Linotype" w:cs="Palatino Linotype"/>
          <w:sz w:val="22"/>
          <w:szCs w:val="22"/>
        </w:rPr>
      </w:pPr>
    </w:p>
    <w:p w14:paraId="5F9A1BDD" w14:textId="77777777" w:rsidR="007A61A4" w:rsidRDefault="00000000">
      <w:pPr>
        <w:spacing w:line="276" w:lineRule="auto"/>
        <w:jc w:val="both"/>
        <w:rPr>
          <w:rFonts w:ascii="Palatino Linotype" w:eastAsia="Palatino Linotype" w:hAnsi="Palatino Linotype" w:cs="Palatino Linotype"/>
          <w:i/>
          <w:sz w:val="22"/>
          <w:szCs w:val="22"/>
        </w:rPr>
      </w:pPr>
      <w:r>
        <w:rPr>
          <w:rFonts w:ascii="Palatino Linotype" w:eastAsia="Palatino Linotype" w:hAnsi="Palatino Linotype" w:cs="Palatino Linotype"/>
          <w:i/>
          <w:sz w:val="22"/>
          <w:szCs w:val="22"/>
        </w:rPr>
        <w:t xml:space="preserve">The </w:t>
      </w:r>
      <w:proofErr w:type="spellStart"/>
      <w:r>
        <w:rPr>
          <w:rFonts w:ascii="Palatino Linotype" w:eastAsia="Palatino Linotype" w:hAnsi="Palatino Linotype" w:cs="Palatino Linotype"/>
          <w:i/>
          <w:sz w:val="22"/>
          <w:szCs w:val="22"/>
        </w:rPr>
        <w:t>Comune</w:t>
      </w:r>
      <w:proofErr w:type="spellEnd"/>
      <w:r>
        <w:rPr>
          <w:rFonts w:ascii="Palatino Linotype" w:eastAsia="Palatino Linotype" w:hAnsi="Palatino Linotype" w:cs="Palatino Linotype"/>
          <w:i/>
          <w:sz w:val="22"/>
          <w:szCs w:val="22"/>
        </w:rPr>
        <w:t xml:space="preserve"> di Venezia provides content from its Control Room, with collaboration from </w:t>
      </w:r>
      <w:proofErr w:type="spellStart"/>
      <w:r>
        <w:rPr>
          <w:rFonts w:ascii="Palatino Linotype" w:eastAsia="Palatino Linotype" w:hAnsi="Palatino Linotype" w:cs="Palatino Linotype"/>
          <w:i/>
          <w:sz w:val="22"/>
          <w:szCs w:val="22"/>
        </w:rPr>
        <w:t>Venis</w:t>
      </w:r>
      <w:proofErr w:type="spellEnd"/>
      <w:r>
        <w:rPr>
          <w:rFonts w:ascii="Palatino Linotype" w:eastAsia="Palatino Linotype" w:hAnsi="Palatino Linotype" w:cs="Palatino Linotype"/>
          <w:i/>
          <w:sz w:val="22"/>
          <w:szCs w:val="22"/>
        </w:rPr>
        <w:t>, TIM, and VSF, for processing and presentation.</w:t>
      </w:r>
    </w:p>
    <w:p w14:paraId="362BD343" w14:textId="77777777" w:rsidR="007A61A4" w:rsidRDefault="007A61A4">
      <w:pPr>
        <w:spacing w:line="276" w:lineRule="auto"/>
        <w:jc w:val="both"/>
        <w:rPr>
          <w:rFonts w:ascii="Palatino Linotype" w:eastAsia="Palatino Linotype" w:hAnsi="Palatino Linotype" w:cs="Palatino Linotype"/>
          <w:sz w:val="22"/>
          <w:szCs w:val="22"/>
        </w:rPr>
      </w:pPr>
    </w:p>
    <w:p w14:paraId="4A549359" w14:textId="77777777" w:rsidR="007A61A4" w:rsidRDefault="00000000">
      <w:pPr>
        <w:spacing w:line="276" w:lineRule="auto"/>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Apse "Urban form"</w:t>
      </w:r>
    </w:p>
    <w:p w14:paraId="29A5874A"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Venice's urban form has evolved while maintaining some original insights and realizations, which are still visible. Through historical illustrations, archival documents, and textual descriptions, some of the most significant aspects of the history of the Venice archipelago are presented.</w:t>
      </w:r>
    </w:p>
    <w:p w14:paraId="4E43E013" w14:textId="77777777" w:rsidR="007A61A4" w:rsidRDefault="007A61A4">
      <w:pPr>
        <w:spacing w:line="276" w:lineRule="auto"/>
        <w:jc w:val="both"/>
        <w:rPr>
          <w:rFonts w:ascii="Palatino Linotype" w:eastAsia="Palatino Linotype" w:hAnsi="Palatino Linotype" w:cs="Palatino Linotype"/>
          <w:sz w:val="22"/>
          <w:szCs w:val="22"/>
        </w:rPr>
      </w:pPr>
    </w:p>
    <w:p w14:paraId="1CF8099A" w14:textId="3B51AA11" w:rsidR="007A61A4" w:rsidRDefault="00945D73">
      <w:pPr>
        <w:spacing w:line="276" w:lineRule="auto"/>
        <w:jc w:val="both"/>
        <w:rPr>
          <w:rFonts w:ascii="Palatino Linotype" w:eastAsia="Palatino Linotype" w:hAnsi="Palatino Linotype" w:cs="Palatino Linotype"/>
          <w:i/>
          <w:sz w:val="22"/>
          <w:szCs w:val="22"/>
        </w:rPr>
      </w:pPr>
      <w:r w:rsidRPr="00945D73">
        <w:rPr>
          <w:rFonts w:ascii="Palatino Linotype" w:eastAsia="Palatino Linotype" w:hAnsi="Palatino Linotype" w:cs="Palatino Linotype"/>
          <w:i/>
          <w:sz w:val="22"/>
          <w:szCs w:val="22"/>
        </w:rPr>
        <w:t xml:space="preserve">The immersive installation is curated by </w:t>
      </w:r>
      <w:proofErr w:type="spellStart"/>
      <w:r w:rsidRPr="00945D73">
        <w:rPr>
          <w:rFonts w:ascii="Palatino Linotype" w:eastAsia="Palatino Linotype" w:hAnsi="Palatino Linotype" w:cs="Palatino Linotype"/>
          <w:i/>
          <w:sz w:val="22"/>
          <w:szCs w:val="22"/>
        </w:rPr>
        <w:t>Ludovica</w:t>
      </w:r>
      <w:proofErr w:type="spellEnd"/>
      <w:r w:rsidRPr="00945D73">
        <w:rPr>
          <w:rFonts w:ascii="Palatino Linotype" w:eastAsia="Palatino Linotype" w:hAnsi="Palatino Linotype" w:cs="Palatino Linotype"/>
          <w:i/>
          <w:sz w:val="22"/>
          <w:szCs w:val="22"/>
        </w:rPr>
        <w:t xml:space="preserve"> </w:t>
      </w:r>
      <w:proofErr w:type="spellStart"/>
      <w:r w:rsidRPr="00945D73">
        <w:rPr>
          <w:rFonts w:ascii="Palatino Linotype" w:eastAsia="Palatino Linotype" w:hAnsi="Palatino Linotype" w:cs="Palatino Linotype"/>
          <w:i/>
          <w:sz w:val="22"/>
          <w:szCs w:val="22"/>
        </w:rPr>
        <w:t>Galeazzo</w:t>
      </w:r>
      <w:proofErr w:type="spellEnd"/>
      <w:r w:rsidRPr="00945D73">
        <w:rPr>
          <w:rFonts w:ascii="Palatino Linotype" w:eastAsia="Palatino Linotype" w:hAnsi="Palatino Linotype" w:cs="Palatino Linotype"/>
          <w:i/>
          <w:sz w:val="22"/>
          <w:szCs w:val="22"/>
        </w:rPr>
        <w:t xml:space="preserve">, </w:t>
      </w:r>
      <w:r>
        <w:rPr>
          <w:rFonts w:ascii="Palatino Linotype" w:eastAsia="Palatino Linotype" w:hAnsi="Palatino Linotype" w:cs="Palatino Linotype"/>
          <w:i/>
          <w:sz w:val="22"/>
          <w:szCs w:val="22"/>
        </w:rPr>
        <w:t>scientific director</w:t>
      </w:r>
      <w:r w:rsidRPr="00945D73">
        <w:rPr>
          <w:rFonts w:ascii="Palatino Linotype" w:eastAsia="Palatino Linotype" w:hAnsi="Palatino Linotype" w:cs="Palatino Linotype"/>
          <w:i/>
          <w:sz w:val="22"/>
          <w:szCs w:val="22"/>
        </w:rPr>
        <w:t xml:space="preserve"> of the ERC project </w:t>
      </w:r>
      <w:r>
        <w:rPr>
          <w:rFonts w:ascii="Palatino Linotype" w:eastAsia="Palatino Linotype" w:hAnsi="Palatino Linotype" w:cs="Palatino Linotype"/>
          <w:i/>
          <w:sz w:val="22"/>
          <w:szCs w:val="22"/>
        </w:rPr>
        <w:t>“</w:t>
      </w:r>
      <w:r w:rsidRPr="00945D73">
        <w:rPr>
          <w:rFonts w:ascii="Palatino Linotype" w:eastAsia="Palatino Linotype" w:hAnsi="Palatino Linotype" w:cs="Palatino Linotype"/>
          <w:i/>
          <w:sz w:val="22"/>
          <w:szCs w:val="22"/>
        </w:rPr>
        <w:t xml:space="preserve">Venice’s </w:t>
      </w:r>
      <w:proofErr w:type="spellStart"/>
      <w:r w:rsidRPr="00945D73">
        <w:rPr>
          <w:rFonts w:ascii="Palatino Linotype" w:eastAsia="Palatino Linotype" w:hAnsi="Palatino Linotype" w:cs="Palatino Linotype"/>
          <w:i/>
          <w:sz w:val="22"/>
          <w:szCs w:val="22"/>
        </w:rPr>
        <w:t>Nissology</w:t>
      </w:r>
      <w:proofErr w:type="spellEnd"/>
      <w:r w:rsidRPr="00945D73">
        <w:rPr>
          <w:rFonts w:ascii="Palatino Linotype" w:eastAsia="Palatino Linotype" w:hAnsi="Palatino Linotype" w:cs="Palatino Linotype"/>
          <w:i/>
          <w:sz w:val="22"/>
          <w:szCs w:val="22"/>
        </w:rPr>
        <w:t>. Reframing the Lagoon City as an Archipelago</w:t>
      </w:r>
      <w:r>
        <w:rPr>
          <w:rFonts w:ascii="Palatino Linotype" w:eastAsia="Palatino Linotype" w:hAnsi="Palatino Linotype" w:cs="Palatino Linotype"/>
          <w:i/>
          <w:sz w:val="22"/>
          <w:szCs w:val="22"/>
        </w:rPr>
        <w:t>”</w:t>
      </w:r>
      <w:r w:rsidRPr="00945D73">
        <w:rPr>
          <w:rFonts w:ascii="Palatino Linotype" w:eastAsia="Palatino Linotype" w:hAnsi="Palatino Linotype" w:cs="Palatino Linotype"/>
          <w:i/>
          <w:sz w:val="22"/>
          <w:szCs w:val="22"/>
        </w:rPr>
        <w:t xml:space="preserve">. Created in collaboration with studio </w:t>
      </w:r>
      <w:proofErr w:type="spellStart"/>
      <w:r w:rsidRPr="00945D73">
        <w:rPr>
          <w:rFonts w:ascii="Palatino Linotype" w:eastAsia="Palatino Linotype" w:hAnsi="Palatino Linotype" w:cs="Palatino Linotype"/>
          <w:i/>
          <w:sz w:val="22"/>
          <w:szCs w:val="22"/>
        </w:rPr>
        <w:t>camerAnebbia</w:t>
      </w:r>
      <w:proofErr w:type="spellEnd"/>
      <w:r w:rsidRPr="00945D73">
        <w:rPr>
          <w:rFonts w:ascii="Palatino Linotype" w:eastAsia="Palatino Linotype" w:hAnsi="Palatino Linotype" w:cs="Palatino Linotype"/>
          <w:i/>
          <w:sz w:val="22"/>
          <w:szCs w:val="22"/>
        </w:rPr>
        <w:t xml:space="preserve"> of Milan and with the support of the Ministry of Foreign Affairs and International Cooperation and Venice International University (VIU), this Apse is </w:t>
      </w:r>
      <w:r w:rsidR="00000000">
        <w:rPr>
          <w:rFonts w:ascii="Palatino Linotype" w:eastAsia="Palatino Linotype" w:hAnsi="Palatino Linotype" w:cs="Palatino Linotype"/>
          <w:i/>
          <w:sz w:val="22"/>
          <w:szCs w:val="22"/>
        </w:rPr>
        <w:t>a unique experience in which visitors can immerse themselves and retrace a millenary history.</w:t>
      </w:r>
    </w:p>
    <w:p w14:paraId="72952478" w14:textId="77777777" w:rsidR="007A61A4" w:rsidRDefault="007A61A4">
      <w:pPr>
        <w:spacing w:line="276" w:lineRule="auto"/>
        <w:jc w:val="both"/>
        <w:rPr>
          <w:rFonts w:ascii="Palatino Linotype" w:eastAsia="Palatino Linotype" w:hAnsi="Palatino Linotype" w:cs="Palatino Linotype"/>
          <w:sz w:val="22"/>
          <w:szCs w:val="22"/>
        </w:rPr>
      </w:pPr>
    </w:p>
    <w:p w14:paraId="5EA51364"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The </w:t>
      </w:r>
      <w:r>
        <w:rPr>
          <w:rFonts w:ascii="Palatino Linotype" w:eastAsia="Palatino Linotype" w:hAnsi="Palatino Linotype" w:cs="Palatino Linotype"/>
          <w:b/>
          <w:sz w:val="22"/>
          <w:szCs w:val="22"/>
        </w:rPr>
        <w:t>Table “Venetian Abacus”</w:t>
      </w:r>
      <w:r>
        <w:rPr>
          <w:rFonts w:ascii="Palatino Linotype" w:eastAsia="Palatino Linotype" w:hAnsi="Palatino Linotype" w:cs="Palatino Linotype"/>
          <w:sz w:val="22"/>
          <w:szCs w:val="22"/>
        </w:rPr>
        <w:t xml:space="preserve"> - curated by the </w:t>
      </w:r>
      <w:proofErr w:type="spellStart"/>
      <w:r>
        <w:rPr>
          <w:rFonts w:ascii="Palatino Linotype" w:eastAsia="Palatino Linotype" w:hAnsi="Palatino Linotype" w:cs="Palatino Linotype"/>
          <w:sz w:val="22"/>
          <w:szCs w:val="22"/>
        </w:rPr>
        <w:t>Università</w:t>
      </w:r>
      <w:proofErr w:type="spellEnd"/>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Iuav</w:t>
      </w:r>
      <w:proofErr w:type="spellEnd"/>
      <w:r>
        <w:rPr>
          <w:rFonts w:ascii="Palatino Linotype" w:eastAsia="Palatino Linotype" w:hAnsi="Palatino Linotype" w:cs="Palatino Linotype"/>
          <w:sz w:val="22"/>
          <w:szCs w:val="22"/>
        </w:rPr>
        <w:t xml:space="preserve"> di Venezia - running along the central axis of the </w:t>
      </w:r>
      <w:proofErr w:type="spellStart"/>
      <w:r>
        <w:rPr>
          <w:rFonts w:ascii="Palatino Linotype" w:eastAsia="Palatino Linotype" w:hAnsi="Palatino Linotype" w:cs="Palatino Linotype"/>
          <w:sz w:val="22"/>
          <w:szCs w:val="22"/>
        </w:rPr>
        <w:t>Tesa</w:t>
      </w:r>
      <w:proofErr w:type="spellEnd"/>
      <w:r>
        <w:rPr>
          <w:rFonts w:ascii="Palatino Linotype" w:eastAsia="Palatino Linotype" w:hAnsi="Palatino Linotype" w:cs="Palatino Linotype"/>
          <w:sz w:val="22"/>
          <w:szCs w:val="22"/>
        </w:rPr>
        <w:t xml:space="preserve"> is dedicated to Ingenuities. It represents the objects, tools, mechanisms, and technologies with which the Venetians have managed to turn an uninhabitable place into one of the most important testimonies of global urban history. Visitors will be able to consult paper and photographic documents about the urbanization of Venice over the centuries. Through specific references, seemingly "restrictive" from an architectural point of view, it will be possible to understand how such "constraints" can instead ensure creative excellence.</w:t>
      </w:r>
    </w:p>
    <w:p w14:paraId="7DE5D0A5" w14:textId="77777777" w:rsidR="007A61A4" w:rsidRDefault="007A61A4">
      <w:pPr>
        <w:spacing w:line="276" w:lineRule="auto"/>
        <w:jc w:val="both"/>
        <w:rPr>
          <w:rFonts w:ascii="Palatino Linotype" w:eastAsia="Palatino Linotype" w:hAnsi="Palatino Linotype" w:cs="Palatino Linotype"/>
          <w:sz w:val="22"/>
          <w:szCs w:val="22"/>
        </w:rPr>
      </w:pPr>
    </w:p>
    <w:p w14:paraId="74824AAA"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t xml:space="preserve">The </w:t>
      </w:r>
      <w:r>
        <w:rPr>
          <w:rFonts w:ascii="Palatino Linotype" w:eastAsia="Palatino Linotype" w:hAnsi="Palatino Linotype" w:cs="Palatino Linotype"/>
          <w:b/>
          <w:sz w:val="22"/>
          <w:szCs w:val="22"/>
        </w:rPr>
        <w:t>"Actors of today and tomorrow"</w:t>
      </w:r>
      <w:r>
        <w:rPr>
          <w:rFonts w:ascii="Palatino Linotype" w:eastAsia="Palatino Linotype" w:hAnsi="Palatino Linotype" w:cs="Palatino Linotype"/>
          <w:sz w:val="22"/>
          <w:szCs w:val="22"/>
        </w:rPr>
        <w:t xml:space="preserve"> section is equally essential. It occupies the connecting walls between the “Apses of the intelligences” and illustrates ongoing and developing projects by various public and private actors operating in the city.</w:t>
      </w:r>
    </w:p>
    <w:p w14:paraId="45775E5C" w14:textId="77777777" w:rsidR="007A61A4" w:rsidRDefault="00000000">
      <w:p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Actors are:</w:t>
      </w:r>
    </w:p>
    <w:p w14:paraId="0F6BB9FB"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Almaviva</w:t>
      </w:r>
    </w:p>
    <w:p w14:paraId="32CA7B65"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Assicurazioni</w:t>
      </w:r>
      <w:proofErr w:type="spellEnd"/>
      <w:r>
        <w:rPr>
          <w:rFonts w:ascii="Palatino Linotype" w:eastAsia="Palatino Linotype" w:hAnsi="Palatino Linotype" w:cs="Palatino Linotype"/>
          <w:sz w:val="22"/>
          <w:szCs w:val="22"/>
        </w:rPr>
        <w:t xml:space="preserve"> Generali</w:t>
      </w:r>
    </w:p>
    <w:p w14:paraId="1CECA7C9" w14:textId="77777777" w:rsidR="007A61A4" w:rsidRPr="00945D73" w:rsidRDefault="00000000">
      <w:pPr>
        <w:numPr>
          <w:ilvl w:val="0"/>
          <w:numId w:val="1"/>
        </w:numPr>
        <w:spacing w:line="276" w:lineRule="auto"/>
        <w:jc w:val="both"/>
        <w:rPr>
          <w:rFonts w:ascii="Palatino Linotype" w:eastAsia="Palatino Linotype" w:hAnsi="Palatino Linotype" w:cs="Palatino Linotype"/>
          <w:sz w:val="22"/>
          <w:szCs w:val="22"/>
          <w:lang w:val="it-IT"/>
        </w:rPr>
      </w:pPr>
      <w:r w:rsidRPr="00945D73">
        <w:rPr>
          <w:rFonts w:ascii="Palatino Linotype" w:eastAsia="Palatino Linotype" w:hAnsi="Palatino Linotype" w:cs="Palatino Linotype"/>
          <w:sz w:val="22"/>
          <w:szCs w:val="22"/>
          <w:lang w:val="it-IT"/>
        </w:rPr>
        <w:t>Autorità di Sistema Portuale dell’Adriatico Settentrionale - Porti di Venezia e Chioggia</w:t>
      </w:r>
    </w:p>
    <w:p w14:paraId="3DED988B" w14:textId="77777777" w:rsidR="007A61A4" w:rsidRPr="00945D73" w:rsidRDefault="00000000">
      <w:pPr>
        <w:numPr>
          <w:ilvl w:val="0"/>
          <w:numId w:val="1"/>
        </w:numPr>
        <w:spacing w:line="276" w:lineRule="auto"/>
        <w:jc w:val="both"/>
        <w:rPr>
          <w:rFonts w:ascii="Palatino Linotype" w:eastAsia="Palatino Linotype" w:hAnsi="Palatino Linotype" w:cs="Palatino Linotype"/>
          <w:sz w:val="22"/>
          <w:szCs w:val="22"/>
          <w:lang w:val="it-IT"/>
        </w:rPr>
      </w:pPr>
      <w:r w:rsidRPr="00945D73">
        <w:rPr>
          <w:rFonts w:ascii="Palatino Linotype" w:eastAsia="Palatino Linotype" w:hAnsi="Palatino Linotype" w:cs="Palatino Linotype"/>
          <w:sz w:val="22"/>
          <w:szCs w:val="22"/>
          <w:lang w:val="it-IT"/>
        </w:rPr>
        <w:t>Conservatorio di Musica Benedetto Marcello Venezia</w:t>
      </w:r>
    </w:p>
    <w:p w14:paraId="5F01F41F"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Enfinity</w:t>
      </w:r>
      <w:proofErr w:type="spellEnd"/>
      <w:r>
        <w:rPr>
          <w:rFonts w:ascii="Palatino Linotype" w:eastAsia="Palatino Linotype" w:hAnsi="Palatino Linotype" w:cs="Palatino Linotype"/>
          <w:sz w:val="22"/>
          <w:szCs w:val="22"/>
        </w:rPr>
        <w:t xml:space="preserve"> Global</w:t>
      </w:r>
    </w:p>
    <w:p w14:paraId="68FF2B1E"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Eni</w:t>
      </w:r>
    </w:p>
    <w:p w14:paraId="20260048"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Ferrovie</w:t>
      </w:r>
      <w:proofErr w:type="spellEnd"/>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dello</w:t>
      </w:r>
      <w:proofErr w:type="spellEnd"/>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Stato</w:t>
      </w:r>
      <w:proofErr w:type="spellEnd"/>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Italiane</w:t>
      </w:r>
      <w:proofErr w:type="spellEnd"/>
    </w:p>
    <w:p w14:paraId="6CE59096"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Fondazione </w:t>
      </w:r>
      <w:proofErr w:type="spellStart"/>
      <w:r>
        <w:rPr>
          <w:rFonts w:ascii="Palatino Linotype" w:eastAsia="Palatino Linotype" w:hAnsi="Palatino Linotype" w:cs="Palatino Linotype"/>
          <w:sz w:val="22"/>
          <w:szCs w:val="22"/>
        </w:rPr>
        <w:t>Diabete</w:t>
      </w:r>
      <w:proofErr w:type="spellEnd"/>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Ricerca</w:t>
      </w:r>
      <w:proofErr w:type="spellEnd"/>
      <w:r>
        <w:rPr>
          <w:rFonts w:ascii="Palatino Linotype" w:eastAsia="Palatino Linotype" w:hAnsi="Palatino Linotype" w:cs="Palatino Linotype"/>
          <w:sz w:val="22"/>
          <w:szCs w:val="22"/>
        </w:rPr>
        <w:t xml:space="preserve"> </w:t>
      </w:r>
      <w:proofErr w:type="spellStart"/>
      <w:r>
        <w:rPr>
          <w:rFonts w:ascii="Palatino Linotype" w:eastAsia="Palatino Linotype" w:hAnsi="Palatino Linotype" w:cs="Palatino Linotype"/>
          <w:sz w:val="22"/>
          <w:szCs w:val="22"/>
        </w:rPr>
        <w:t>onlus</w:t>
      </w:r>
      <w:proofErr w:type="spellEnd"/>
    </w:p>
    <w:p w14:paraId="3DE8C0CE"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Fincantieri</w:t>
      </w:r>
      <w:proofErr w:type="spellEnd"/>
    </w:p>
    <w:p w14:paraId="2539717C"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Mare Technopark</w:t>
      </w:r>
    </w:p>
    <w:p w14:paraId="27C362F0"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Microsoft Italia</w:t>
      </w:r>
    </w:p>
    <w:p w14:paraId="0DB75035"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Procuratoria</w:t>
      </w:r>
      <w:proofErr w:type="spellEnd"/>
      <w:r>
        <w:rPr>
          <w:rFonts w:ascii="Palatino Linotype" w:eastAsia="Palatino Linotype" w:hAnsi="Palatino Linotype" w:cs="Palatino Linotype"/>
          <w:sz w:val="22"/>
          <w:szCs w:val="22"/>
        </w:rPr>
        <w:t xml:space="preserve"> di San Marco</w:t>
      </w:r>
    </w:p>
    <w:p w14:paraId="4C8CAB83"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Regione</w:t>
      </w:r>
      <w:proofErr w:type="spellEnd"/>
      <w:r>
        <w:rPr>
          <w:rFonts w:ascii="Palatino Linotype" w:eastAsia="Palatino Linotype" w:hAnsi="Palatino Linotype" w:cs="Palatino Linotype"/>
          <w:sz w:val="22"/>
          <w:szCs w:val="22"/>
        </w:rPr>
        <w:t xml:space="preserve"> del Veneto</w:t>
      </w:r>
    </w:p>
    <w:p w14:paraId="4B9CAB83" w14:textId="77777777" w:rsidR="007A61A4" w:rsidRDefault="00000000">
      <w:pPr>
        <w:numPr>
          <w:ilvl w:val="0"/>
          <w:numId w:val="1"/>
        </w:numPr>
        <w:spacing w:line="276"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TIM</w:t>
      </w:r>
    </w:p>
    <w:p w14:paraId="546CA225" w14:textId="77777777" w:rsidR="007A61A4" w:rsidRDefault="007A61A4">
      <w:pPr>
        <w:spacing w:line="276" w:lineRule="auto"/>
        <w:jc w:val="both"/>
        <w:rPr>
          <w:rFonts w:ascii="Palatino Linotype" w:eastAsia="Palatino Linotype" w:hAnsi="Palatino Linotype" w:cs="Palatino Linotype"/>
          <w:sz w:val="22"/>
          <w:szCs w:val="22"/>
        </w:rPr>
      </w:pPr>
    </w:p>
    <w:p w14:paraId="6695524F" w14:textId="77777777" w:rsidR="007A61A4" w:rsidRDefault="007A61A4">
      <w:pPr>
        <w:spacing w:line="276" w:lineRule="auto"/>
        <w:jc w:val="both"/>
        <w:rPr>
          <w:rFonts w:ascii="Palatino Linotype" w:eastAsia="Palatino Linotype" w:hAnsi="Palatino Linotype" w:cs="Palatino Linotype"/>
          <w:sz w:val="22"/>
          <w:szCs w:val="22"/>
        </w:rPr>
      </w:pPr>
    </w:p>
    <w:p w14:paraId="09839DFC" w14:textId="77777777" w:rsidR="007A61A4" w:rsidRPr="00945D73" w:rsidRDefault="00000000">
      <w:pPr>
        <w:spacing w:line="276" w:lineRule="auto"/>
        <w:jc w:val="both"/>
        <w:rPr>
          <w:rFonts w:ascii="Palatino Linotype" w:eastAsia="Palatino Linotype" w:hAnsi="Palatino Linotype" w:cs="Palatino Linotype"/>
          <w:sz w:val="22"/>
          <w:szCs w:val="22"/>
          <w:lang w:val="it-IT"/>
        </w:rPr>
      </w:pPr>
      <w:r w:rsidRPr="00945D73">
        <w:rPr>
          <w:rFonts w:ascii="Palatino Linotype" w:eastAsia="Palatino Linotype" w:hAnsi="Palatino Linotype" w:cs="Palatino Linotype"/>
          <w:sz w:val="22"/>
          <w:szCs w:val="22"/>
          <w:lang w:val="it-IT"/>
        </w:rPr>
        <w:t xml:space="preserve">The </w:t>
      </w:r>
      <w:proofErr w:type="spellStart"/>
      <w:r w:rsidRPr="00945D73">
        <w:rPr>
          <w:rFonts w:ascii="Palatino Linotype" w:eastAsia="Palatino Linotype" w:hAnsi="Palatino Linotype" w:cs="Palatino Linotype"/>
          <w:sz w:val="22"/>
          <w:szCs w:val="22"/>
          <w:lang w:val="it-IT"/>
        </w:rPr>
        <w:t>initiative</w:t>
      </w:r>
      <w:proofErr w:type="spellEnd"/>
      <w:r w:rsidRPr="00945D73">
        <w:rPr>
          <w:rFonts w:ascii="Palatino Linotype" w:eastAsia="Palatino Linotype" w:hAnsi="Palatino Linotype" w:cs="Palatino Linotype"/>
          <w:sz w:val="22"/>
          <w:szCs w:val="22"/>
          <w:lang w:val="it-IT"/>
        </w:rPr>
        <w:t xml:space="preserve"> </w:t>
      </w:r>
      <w:proofErr w:type="spellStart"/>
      <w:r w:rsidRPr="00945D73">
        <w:rPr>
          <w:rFonts w:ascii="Palatino Linotype" w:eastAsia="Palatino Linotype" w:hAnsi="Palatino Linotype" w:cs="Palatino Linotype"/>
          <w:sz w:val="22"/>
          <w:szCs w:val="22"/>
          <w:lang w:val="it-IT"/>
        </w:rPr>
        <w:t>is</w:t>
      </w:r>
      <w:proofErr w:type="spellEnd"/>
      <w:r w:rsidRPr="00945D73">
        <w:rPr>
          <w:rFonts w:ascii="Palatino Linotype" w:eastAsia="Palatino Linotype" w:hAnsi="Palatino Linotype" w:cs="Palatino Linotype"/>
          <w:sz w:val="22"/>
          <w:szCs w:val="22"/>
          <w:lang w:val="it-IT"/>
        </w:rPr>
        <w:t xml:space="preserve"> </w:t>
      </w:r>
      <w:proofErr w:type="spellStart"/>
      <w:r w:rsidRPr="00945D73">
        <w:rPr>
          <w:rFonts w:ascii="Palatino Linotype" w:eastAsia="Palatino Linotype" w:hAnsi="Palatino Linotype" w:cs="Palatino Linotype"/>
          <w:sz w:val="22"/>
          <w:szCs w:val="22"/>
          <w:lang w:val="it-IT"/>
        </w:rPr>
        <w:t>also</w:t>
      </w:r>
      <w:proofErr w:type="spellEnd"/>
      <w:r w:rsidRPr="00945D73">
        <w:rPr>
          <w:rFonts w:ascii="Palatino Linotype" w:eastAsia="Palatino Linotype" w:hAnsi="Palatino Linotype" w:cs="Palatino Linotype"/>
          <w:sz w:val="22"/>
          <w:szCs w:val="22"/>
          <w:lang w:val="it-IT"/>
        </w:rPr>
        <w:t xml:space="preserve"> </w:t>
      </w:r>
      <w:proofErr w:type="spellStart"/>
      <w:r w:rsidRPr="00945D73">
        <w:rPr>
          <w:rFonts w:ascii="Palatino Linotype" w:eastAsia="Palatino Linotype" w:hAnsi="Palatino Linotype" w:cs="Palatino Linotype"/>
          <w:sz w:val="22"/>
          <w:szCs w:val="22"/>
          <w:lang w:val="it-IT"/>
        </w:rPr>
        <w:t>supported</w:t>
      </w:r>
      <w:proofErr w:type="spellEnd"/>
      <w:r w:rsidRPr="00945D73">
        <w:rPr>
          <w:rFonts w:ascii="Palatino Linotype" w:eastAsia="Palatino Linotype" w:hAnsi="Palatino Linotype" w:cs="Palatino Linotype"/>
          <w:sz w:val="22"/>
          <w:szCs w:val="22"/>
          <w:lang w:val="it-IT"/>
        </w:rPr>
        <w:t xml:space="preserve"> by </w:t>
      </w:r>
      <w:proofErr w:type="spellStart"/>
      <w:r w:rsidRPr="00945D73">
        <w:rPr>
          <w:rFonts w:ascii="Palatino Linotype" w:eastAsia="Palatino Linotype" w:hAnsi="Palatino Linotype" w:cs="Palatino Linotype"/>
          <w:sz w:val="22"/>
          <w:szCs w:val="22"/>
          <w:lang w:val="it-IT"/>
        </w:rPr>
        <w:t>Alilaguna</w:t>
      </w:r>
      <w:proofErr w:type="spellEnd"/>
      <w:r w:rsidRPr="00945D73">
        <w:rPr>
          <w:rFonts w:ascii="Palatino Linotype" w:eastAsia="Palatino Linotype" w:hAnsi="Palatino Linotype" w:cs="Palatino Linotype"/>
          <w:sz w:val="22"/>
          <w:szCs w:val="22"/>
          <w:lang w:val="it-IT"/>
        </w:rPr>
        <w:t>, Camera di Commercio Venezia Rovigo, and the Fondazione di Venezia.</w:t>
      </w:r>
    </w:p>
    <w:p w14:paraId="195074A3" w14:textId="77777777" w:rsidR="007A61A4" w:rsidRPr="00945D73" w:rsidRDefault="007A61A4">
      <w:pPr>
        <w:spacing w:line="276" w:lineRule="auto"/>
        <w:jc w:val="both"/>
        <w:rPr>
          <w:rFonts w:ascii="Palatino Linotype" w:eastAsia="Palatino Linotype" w:hAnsi="Palatino Linotype" w:cs="Palatino Linotype"/>
          <w:sz w:val="22"/>
          <w:szCs w:val="22"/>
          <w:lang w:val="it-IT"/>
        </w:rPr>
      </w:pPr>
    </w:p>
    <w:p w14:paraId="3E974B82" w14:textId="77777777" w:rsidR="007A61A4" w:rsidRPr="00945D73" w:rsidRDefault="007A61A4">
      <w:pPr>
        <w:spacing w:line="276" w:lineRule="auto"/>
        <w:jc w:val="both"/>
        <w:rPr>
          <w:rFonts w:ascii="Palatino Linotype" w:eastAsia="Palatino Linotype" w:hAnsi="Palatino Linotype" w:cs="Palatino Linotype"/>
          <w:sz w:val="22"/>
          <w:szCs w:val="22"/>
          <w:lang w:val="it-IT"/>
        </w:rPr>
      </w:pPr>
    </w:p>
    <w:sectPr w:rsidR="007A61A4" w:rsidRPr="00945D73">
      <w:headerReference w:type="default" r:id="rId8"/>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CBA80" w14:textId="77777777" w:rsidR="003C4401" w:rsidRDefault="003C4401">
      <w:pPr>
        <w:spacing w:line="240" w:lineRule="auto"/>
      </w:pPr>
      <w:r>
        <w:separator/>
      </w:r>
    </w:p>
  </w:endnote>
  <w:endnote w:type="continuationSeparator" w:id="0">
    <w:p w14:paraId="32E7F17D" w14:textId="77777777" w:rsidR="003C4401" w:rsidRDefault="003C44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F61AD" w14:textId="77777777" w:rsidR="003C4401" w:rsidRDefault="003C4401">
      <w:pPr>
        <w:spacing w:line="240" w:lineRule="auto"/>
      </w:pPr>
      <w:r>
        <w:separator/>
      </w:r>
    </w:p>
  </w:footnote>
  <w:footnote w:type="continuationSeparator" w:id="0">
    <w:p w14:paraId="4910FDE4" w14:textId="77777777" w:rsidR="003C4401" w:rsidRDefault="003C44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CF691" w14:textId="77777777" w:rsidR="007A61A4" w:rsidRDefault="00000000">
    <w:r>
      <w:rPr>
        <w:noProof/>
      </w:rPr>
      <w:drawing>
        <wp:anchor distT="0" distB="0" distL="0" distR="0" simplePos="0" relativeHeight="251658240" behindDoc="0" locked="0" layoutInCell="1" hidden="0" allowOverlap="1" wp14:anchorId="4B81225C" wp14:editId="340FFFE2">
          <wp:simplePos x="0" y="0"/>
          <wp:positionH relativeFrom="column">
            <wp:posOffset>-2070</wp:posOffset>
          </wp:positionH>
          <wp:positionV relativeFrom="paragraph">
            <wp:posOffset>-277745</wp:posOffset>
          </wp:positionV>
          <wp:extent cx="2057521" cy="626201"/>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57521" cy="62620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BA7A9F"/>
    <w:multiLevelType w:val="multilevel"/>
    <w:tmpl w:val="F5903A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35692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A4"/>
    <w:rsid w:val="003C4401"/>
    <w:rsid w:val="007A61A4"/>
    <w:rsid w:val="00945D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BFA57A7"/>
  <w15:docId w15:val="{105B117A-7E1F-244B-92CA-DED53CE5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3488"/>
    <w:pPr>
      <w:spacing w:line="240" w:lineRule="exact"/>
    </w:pPr>
    <w:rPr>
      <w:rFonts w:eastAsia="Times New Roman" w:cs="Times New Roman"/>
      <w:color w:val="000000"/>
      <w:lang w:val="en-GB"/>
    </w:rPr>
  </w:style>
  <w:style w:type="paragraph" w:styleId="Titolo1">
    <w:name w:val="heading 1"/>
    <w:basedOn w:val="Normale"/>
    <w:next w:val="Normale"/>
    <w:link w:val="Titolo1Carattere"/>
    <w:uiPriority w:val="9"/>
    <w:qFormat/>
    <w:rsid w:val="00D23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23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2348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2348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2348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2348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2348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2348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2348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D23488"/>
    <w:pPr>
      <w:spacing w:after="80"/>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D2348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2348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2348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2348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2348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2348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2348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2348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23488"/>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D2348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pPr>
      <w:spacing w:after="160"/>
    </w:pPr>
    <w:rPr>
      <w:color w:val="595959"/>
      <w:sz w:val="28"/>
      <w:szCs w:val="28"/>
    </w:rPr>
  </w:style>
  <w:style w:type="character" w:customStyle="1" w:styleId="SottotitoloCarattere">
    <w:name w:val="Sottotitolo Carattere"/>
    <w:basedOn w:val="Carpredefinitoparagrafo"/>
    <w:link w:val="Sottotitolo"/>
    <w:uiPriority w:val="11"/>
    <w:rsid w:val="00D2348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2348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D23488"/>
    <w:rPr>
      <w:i/>
      <w:iCs/>
      <w:color w:val="404040" w:themeColor="text1" w:themeTint="BF"/>
    </w:rPr>
  </w:style>
  <w:style w:type="paragraph" w:styleId="Paragrafoelenco">
    <w:name w:val="List Paragraph"/>
    <w:basedOn w:val="Normale"/>
    <w:uiPriority w:val="34"/>
    <w:qFormat/>
    <w:rsid w:val="00D23488"/>
    <w:pPr>
      <w:ind w:left="720"/>
      <w:contextualSpacing/>
    </w:pPr>
  </w:style>
  <w:style w:type="character" w:styleId="Enfasiintensa">
    <w:name w:val="Intense Emphasis"/>
    <w:basedOn w:val="Carpredefinitoparagrafo"/>
    <w:uiPriority w:val="21"/>
    <w:qFormat/>
    <w:rsid w:val="00D23488"/>
    <w:rPr>
      <w:i/>
      <w:iCs/>
      <w:color w:val="0F4761" w:themeColor="accent1" w:themeShade="BF"/>
    </w:rPr>
  </w:style>
  <w:style w:type="paragraph" w:styleId="Citazioneintensa">
    <w:name w:val="Intense Quote"/>
    <w:basedOn w:val="Normale"/>
    <w:next w:val="Normale"/>
    <w:link w:val="CitazioneintensaCarattere"/>
    <w:uiPriority w:val="30"/>
    <w:qFormat/>
    <w:rsid w:val="00D23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23488"/>
    <w:rPr>
      <w:i/>
      <w:iCs/>
      <w:color w:val="0F4761" w:themeColor="accent1" w:themeShade="BF"/>
    </w:rPr>
  </w:style>
  <w:style w:type="character" w:styleId="Riferimentointenso">
    <w:name w:val="Intense Reference"/>
    <w:basedOn w:val="Carpredefinitoparagrafo"/>
    <w:uiPriority w:val="32"/>
    <w:qFormat/>
    <w:rsid w:val="00D23488"/>
    <w:rPr>
      <w:b/>
      <w:bCs/>
      <w:smallCaps/>
      <w:color w:val="0F4761" w:themeColor="accent1" w:themeShade="BF"/>
      <w:spacing w:val="5"/>
    </w:rPr>
  </w:style>
  <w:style w:type="paragraph" w:styleId="Testocommento">
    <w:name w:val="annotation text"/>
    <w:basedOn w:val="Normale"/>
    <w:link w:val="TestocommentoCarattere"/>
    <w:uiPriority w:val="99"/>
    <w:semiHidden/>
    <w:unhideWhenUsed/>
    <w:rsid w:val="00D23488"/>
    <w:pPr>
      <w:spacing w:line="240" w:lineRule="auto"/>
    </w:pPr>
  </w:style>
  <w:style w:type="character" w:customStyle="1" w:styleId="TestocommentoCarattere">
    <w:name w:val="Testo commento Carattere"/>
    <w:basedOn w:val="Carpredefinitoparagrafo"/>
    <w:link w:val="Testocommento"/>
    <w:uiPriority w:val="99"/>
    <w:semiHidden/>
    <w:rsid w:val="00D23488"/>
    <w:rPr>
      <w:rFonts w:ascii="Arial" w:eastAsia="Times New Roman" w:hAnsi="Arial" w:cs="Times New Roman"/>
      <w:color w:val="000000"/>
      <w:kern w:val="0"/>
      <w:sz w:val="20"/>
      <w:szCs w:val="20"/>
      <w:lang w:val="en-GB" w:eastAsia="it-IT"/>
    </w:rPr>
  </w:style>
  <w:style w:type="character" w:styleId="Rimandocommento">
    <w:name w:val="annotation reference"/>
    <w:basedOn w:val="Carpredefinitoparagrafo"/>
    <w:uiPriority w:val="99"/>
    <w:semiHidden/>
    <w:unhideWhenUsed/>
    <w:rsid w:val="00D23488"/>
    <w:rPr>
      <w:sz w:val="16"/>
      <w:szCs w:val="16"/>
    </w:rPr>
  </w:style>
  <w:style w:type="paragraph" w:styleId="Revisione">
    <w:name w:val="Revision"/>
    <w:hidden/>
    <w:uiPriority w:val="99"/>
    <w:semiHidden/>
    <w:rsid w:val="00123B4D"/>
    <w:rPr>
      <w:rFonts w:eastAsia="Times New Roman" w:cs="Times New Roman"/>
      <w:color w:val="000000"/>
      <w:lang w:val="en-GB"/>
    </w:rPr>
  </w:style>
  <w:style w:type="paragraph" w:styleId="Soggettocommento">
    <w:name w:val="annotation subject"/>
    <w:basedOn w:val="Testocommento"/>
    <w:next w:val="Testocommento"/>
    <w:link w:val="SoggettocommentoCarattere"/>
    <w:uiPriority w:val="99"/>
    <w:semiHidden/>
    <w:unhideWhenUsed/>
    <w:rsid w:val="00123B4D"/>
    <w:rPr>
      <w:b/>
      <w:bCs/>
    </w:rPr>
  </w:style>
  <w:style w:type="character" w:customStyle="1" w:styleId="SoggettocommentoCarattere">
    <w:name w:val="Soggetto commento Carattere"/>
    <w:basedOn w:val="TestocommentoCarattere"/>
    <w:link w:val="Soggettocommento"/>
    <w:uiPriority w:val="99"/>
    <w:semiHidden/>
    <w:rsid w:val="00123B4D"/>
    <w:rPr>
      <w:rFonts w:ascii="Arial" w:eastAsia="Times New Roman" w:hAnsi="Arial" w:cs="Times New Roman"/>
      <w:b/>
      <w:bCs/>
      <w:color w:val="000000"/>
      <w:kern w:val="0"/>
      <w:sz w:val="20"/>
      <w:szCs w:val="20"/>
      <w:lang w:val="en-GB" w:eastAsia="it-IT"/>
    </w:rPr>
  </w:style>
  <w:style w:type="paragraph" w:styleId="Intestazione">
    <w:name w:val="header"/>
    <w:basedOn w:val="Normale"/>
    <w:link w:val="IntestazioneCarattere"/>
    <w:uiPriority w:val="99"/>
    <w:unhideWhenUsed/>
    <w:rsid w:val="004720E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720EF"/>
    <w:rPr>
      <w:rFonts w:eastAsia="Times New Roman" w:cs="Times New Roman"/>
      <w:color w:val="000000"/>
      <w:lang w:val="en-GB"/>
    </w:rPr>
  </w:style>
  <w:style w:type="paragraph" w:styleId="Pidipagina">
    <w:name w:val="footer"/>
    <w:basedOn w:val="Normale"/>
    <w:link w:val="PidipaginaCarattere"/>
    <w:uiPriority w:val="99"/>
    <w:unhideWhenUsed/>
    <w:rsid w:val="004720E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720EF"/>
    <w:rPr>
      <w:rFonts w:eastAsia="Times New Roman" w:cs="Times New Roman"/>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tP8zzU+BI67MzHl76kc2PIMmQ==">CgMxLjA4AHIhMTBBbk02U0NCcWZZNnp5YkJMZVd2X3o0UG5RaE1ZdG1C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770</Words>
  <Characters>4759</Characters>
  <Application>Microsoft Office Word</Application>
  <DocSecurity>0</DocSecurity>
  <Lines>91</Lines>
  <Paragraphs>28</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Gualazzini</dc:creator>
  <cp:lastModifiedBy>Beatrice Dal Bello</cp:lastModifiedBy>
  <cp:revision>2</cp:revision>
  <dcterms:created xsi:type="dcterms:W3CDTF">2025-10-07T09:11:00Z</dcterms:created>
  <dcterms:modified xsi:type="dcterms:W3CDTF">2025-10-07T09:11:00Z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6156c9fc2705413645fb6dea28101b3980a1eff82204a4742d214eda4bc525e4</vt:lpwstr>
  </property>
</Properties>
</file>